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Default="00FA651A">
      <w:pPr>
        <w:rPr>
          <w:b/>
        </w:rPr>
      </w:pPr>
      <w:r w:rsidRPr="00FA651A">
        <w:rPr>
          <w:b/>
        </w:rPr>
        <w:t>Wymagania edukacyjne na poszczególne oceny</w:t>
      </w:r>
      <w:r>
        <w:rPr>
          <w:b/>
        </w:rPr>
        <w:t>. Planeta Nowa 6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E84D66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FA651A" w:rsidRPr="00FA651A" w:rsidRDefault="00FA651A" w:rsidP="00FA65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FA651A" w:rsidRPr="00FA651A" w:rsidRDefault="00FA651A" w:rsidP="00FA651A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FA651A" w:rsidTr="00E84D66">
        <w:trPr>
          <w:trHeight w:val="283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FA651A">
              <w:rPr>
                <w:rFonts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FA651A" w:rsidRDefault="00FA651A" w:rsidP="00E84D6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FA651A" w:rsidTr="00E84D66">
        <w:trPr>
          <w:trHeight w:val="283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globusierównik, południki 0° i 180° orazpółkule: południową, północną,wschodnią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demonstruje ruch obiegowy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jakiej podstawiewyróżnia się strefy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oświetleniaZiemi z uwzględnieniem kątapadania promieni słonecznych,czasu trwania dnia i 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ruchemobiegowym Ziemi a strefami jejoświetlenia oraz strefowymzróżnicowaniem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grupy ludówzamieszkujących Europę napodstawie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języki i religiewystępujące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zróżnicowaniejęzykowe ludności Europyna podstawie mapy tematycznej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kraje imigracyjne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527076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przyczynyzróżnicowania narodowościowegoi językowego ludności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zróżnicowanie kulturowei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religijne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skutki zróżnicowaniakulturowego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cechyśrodowiska przyrodniczego Daniii Węgier na podstawie mapyogólnogeograficznej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rośliny uprawnei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zwierzęta hodowlaneo największym znaczeniudla rolnictwa 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cechyśrodowiska przyrodniczegoDanii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Węgier sprzyjającerozwojowi rolnictwa na podstawiemap ogólnogeograficznychi tematycznych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warunki przyrodniczei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pozaprzyrodnicze rozwojurolnictwa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rozmieszczenienajważniejszych uprawi hodowli 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Danii i na Węgrzechna podstawie map rolnictwatych krajów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wydajność rolnictwaDanii i Węgier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Europiewystępują korzystne warunkiprzyrodnicze do rozwoju rolnictwa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pozytywnei negatywne skutki rozwojunowoczesnego rolnictwaw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342394">
        <w:trPr>
          <w:trHeight w:val="283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Rosjina podstawie 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lokalizuje na mapie Rosjigłówne obszary upraw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rozpoznaje obiekty z Listyświatowego dziedzictwa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nadktórymi Ukraina utraciła kontrolę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gałęzieprzemysłu Rosji na podstawiemapy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najważniejsze roślinyuprawne w Rosji na podstawiemapy 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 xml:space="preserve">przemyśle w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Niemczechna podstawie 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turystykiaktywnej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jakie czynniki wpływająna stan gospodarki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usług w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i rekreacyjno</w:t>
            </w:r>
            <w:r w:rsidR="00342394" w:rsidRPr="00FE5A41">
              <w:rPr>
                <w:rFonts w:cstheme="minorHAnsi"/>
                <w:sz w:val="18"/>
                <w:szCs w:val="18"/>
              </w:rPr>
              <w:t>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sportowychCzech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lokalizacjigłównych okręgówprzemysłowych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gospodarce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udowadnia, że Niemcy sąświatową potęgą gospodarczą napodstawie danych statystycznychoraz map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gospodarczych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projektuje wycieczkę na Litwęi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Białoruś, posługując się różnymimapami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konfliktu z Ukrainąna Rosję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FA651A" w:rsidTr="00FA651A">
        <w:tc>
          <w:tcPr>
            <w:tcW w:w="3002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FA651A" w:rsidRPr="00FA651A" w:rsidRDefault="00FA651A" w:rsidP="00FE5A41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DE7415" w:rsidRDefault="00A37420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A651A"/>
    <w:rsid w:val="000C03A7"/>
    <w:rsid w:val="00342394"/>
    <w:rsid w:val="00503A73"/>
    <w:rsid w:val="005143A4"/>
    <w:rsid w:val="00527076"/>
    <w:rsid w:val="0056652F"/>
    <w:rsid w:val="007778B3"/>
    <w:rsid w:val="00900F33"/>
    <w:rsid w:val="00A37420"/>
    <w:rsid w:val="00E84D66"/>
    <w:rsid w:val="00F70B9E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Lenovo</cp:lastModifiedBy>
  <cp:revision>2</cp:revision>
  <dcterms:created xsi:type="dcterms:W3CDTF">2021-09-02T16:51:00Z</dcterms:created>
  <dcterms:modified xsi:type="dcterms:W3CDTF">2021-09-02T16:51:00Z</dcterms:modified>
</cp:coreProperties>
</file>